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Ukraine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ECA-East   ·   Maturity: Application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Support to Dream extensions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Ukraine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Ukraine — PIM-PAM Country Engagement Brief</dc:title>
  <dc:creator>PIM-PAM engagement</dc:creator>
  <cp:lastModifiedBy>Un-named</cp:lastModifiedBy>
  <cp:revision>1</cp:revision>
  <dcterms:created xsi:type="dcterms:W3CDTF">2026-07-25T08:06:10.417Z</dcterms:created>
  <dcterms:modified xsi:type="dcterms:W3CDTF">2026-07-25T08:06:10.417Z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