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Uzbekistan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ECA-East   ·   Maturity: Inception   ·   Last updated 2026-06-09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Implementation of 2026-30 PFM Strategy
Roll-out of PforRs accoss sectors and sub-national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Fragmentation of PIM Across externally and national financing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Swiss SECO TF for Implementation of 2026-2030 PFM Strategy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2026-06-09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Uzbekistan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Uzbekistan — PIM-PAM Country Engagement Brief</dc:title>
  <dc:creator>PIM-PAM engagement</dc:creator>
  <cp:lastModifiedBy>Un-named</cp:lastModifiedBy>
  <cp:revision>1</cp:revision>
  <dcterms:created xsi:type="dcterms:W3CDTF">2026-09-21T01:10:18.628Z</dcterms:created>
  <dcterms:modified xsi:type="dcterms:W3CDTF">2026-09-21T01:10:18.628Z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